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26" w:rsidRPr="0009319B" w:rsidRDefault="005C7E26" w:rsidP="005C7E26">
      <w:pPr>
        <w:jc w:val="center"/>
        <w:rPr>
          <w:rFonts w:ascii="Times New Roman" w:hAnsi="Times New Roman"/>
          <w:b/>
          <w:lang w:val="pt-BR"/>
        </w:rPr>
      </w:pPr>
      <w:r w:rsidRPr="0009319B">
        <w:rPr>
          <w:rFonts w:ascii="Times New Roman" w:hAnsi="Times New Roman"/>
          <w:b/>
          <w:lang w:val="pt-BR"/>
        </w:rPr>
        <w:t xml:space="preserve">PHỤ LỤC </w:t>
      </w:r>
      <w:r>
        <w:rPr>
          <w:rFonts w:ascii="Times New Roman" w:hAnsi="Times New Roman"/>
          <w:b/>
          <w:lang w:val="pt-BR"/>
        </w:rPr>
        <w:t>6</w:t>
      </w:r>
    </w:p>
    <w:p w:rsidR="005C7E26" w:rsidRPr="0009319B" w:rsidRDefault="005C7E26" w:rsidP="005C7E26">
      <w:pPr>
        <w:spacing w:line="276" w:lineRule="auto"/>
        <w:ind w:firstLine="426"/>
        <w:jc w:val="center"/>
        <w:rPr>
          <w:rFonts w:ascii="Times New Roman" w:hAnsi="Times New Roman"/>
          <w:b/>
          <w:lang w:val="pt-BR"/>
        </w:rPr>
      </w:pPr>
      <w:r w:rsidRPr="0009319B">
        <w:rPr>
          <w:rFonts w:ascii="Times New Roman" w:hAnsi="Times New Roman"/>
          <w:b/>
          <w:lang w:val="pt-BR"/>
        </w:rPr>
        <w:t xml:space="preserve">DANH MỤC QUYẾT ĐỊNH, KẾ HOẠCH, CHIẾN LƯỢC LIÊN QUAN ĐẾN NGÀNH XÂY DỰNG </w:t>
      </w:r>
    </w:p>
    <w:p w:rsidR="005C7E26" w:rsidRPr="0009319B" w:rsidRDefault="005C7E26" w:rsidP="005C7E26">
      <w:pPr>
        <w:spacing w:line="276" w:lineRule="auto"/>
        <w:rPr>
          <w:rFonts w:ascii="Times New Roman" w:hAnsi="Times New Roman"/>
          <w:b/>
          <w:lang w:val="pt-BR"/>
        </w:rPr>
      </w:pP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5C7E26" w:rsidRPr="0009319B" w:rsidTr="005C7E26">
        <w:trPr>
          <w:tblHeader/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Số QĐ, ngày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Tên Chương trình/ Đề án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1402/QĐ-BXD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30/12/2016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pStyle w:val="NormalWeb"/>
              <w:spacing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09319B">
              <w:rPr>
                <w:sz w:val="26"/>
                <w:szCs w:val="26"/>
              </w:rPr>
              <w:t>Danh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mục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các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chương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trình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khoa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học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và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công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nghệ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trọng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điểm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ngành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Xây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dựng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giai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đoạn</w:t>
            </w:r>
            <w:proofErr w:type="spellEnd"/>
            <w:r w:rsidRPr="0009319B">
              <w:rPr>
                <w:sz w:val="26"/>
                <w:szCs w:val="26"/>
              </w:rPr>
              <w:t xml:space="preserve"> 2017 - 2021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>527/QĐ-BXD</w:t>
            </w:r>
          </w:p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29/5/2013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pStyle w:val="NormalWeb"/>
              <w:spacing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09319B">
              <w:rPr>
                <w:sz w:val="26"/>
                <w:szCs w:val="26"/>
              </w:rPr>
              <w:t>Chiến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lược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phát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triển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khoa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học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và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công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nghệ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ngành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Xây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dựng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đến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năm</w:t>
            </w:r>
            <w:proofErr w:type="spellEnd"/>
            <w:r w:rsidRPr="0009319B">
              <w:rPr>
                <w:sz w:val="26"/>
                <w:szCs w:val="26"/>
              </w:rPr>
              <w:t xml:space="preserve"> 2020, </w:t>
            </w:r>
            <w:proofErr w:type="spellStart"/>
            <w:r w:rsidRPr="0009319B">
              <w:rPr>
                <w:sz w:val="26"/>
                <w:szCs w:val="26"/>
              </w:rPr>
              <w:t>tầm</w:t>
            </w:r>
            <w:proofErr w:type="spellEnd"/>
            <w:r w:rsidRPr="0009319B">
              <w:rPr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sz w:val="26"/>
                <w:szCs w:val="26"/>
              </w:rPr>
              <w:t>nhìn</w:t>
            </w:r>
            <w:proofErr w:type="spellEnd"/>
            <w:r w:rsidRPr="0009319B">
              <w:rPr>
                <w:sz w:val="26"/>
                <w:szCs w:val="26"/>
              </w:rPr>
              <w:t xml:space="preserve"> 2030.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1929/QĐ-TTg ngày 20/11/2009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Định hướng phát triển cấp nước đô thị và khu công nghiệp Việt Nam đến năm 2025 và tầm nhìn đến năm 2050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2149/QĐ-TTg ngày 17/12/2009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Chiến lược quốc gia về quản lý tổng hợp chất thải rắn đến năm 2025 tầm nhìn đến năm 2050.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1874/QĐ-TTg ngày 11/10/2010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Định hướng phát triển chiếu sáng đến năm 2025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567/QĐ-TTg ngày 28/4/2010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Chương trình phát triển vật liệu xây dựng không nung đến năm 2020.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798/QĐ-TTg ngày 25/5/2011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Chương trình đầu tư xử lý chất thải rắn giai đoạn 2011-2020.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986/QĐ-BXD ngày 17/11/2011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Kế hoạch triển khai thực hiện Chương trình đầu tư xử lý chất thải rắn 2011-2020.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8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Chỉ thị số 10/CT-TTg ngày 16/4/2012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Tăng cường sử dụng vật liệu không nung và hạn chế sản xuất, sử dụng gạch đất sét nung.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9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1775/QĐ-TTg ngày 21/11/2012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Đề án quản lý phát thải khí nhà kính gây hiệu ứng nhà kính; quản lý các hoạt động kinh doanh tín chỉ cac-bon ra thị trường thế giới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1393/QĐ-TTg ngày 25/9/2012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Chiến lược quốc gia về tăng trưởng xanh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11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>1216/QĐ-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TTg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05/9/2012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Chiến lược Bảo vệ môi trường Quốc  gia đến năm 2020, tầm nhìn đến năm 2030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12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209/QĐ-BXD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04/03/2014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hành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hoạch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hành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động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ứng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phó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với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biến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đổi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hậu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của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ngành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dựng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đoạn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2014 - 2020.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13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2282/QĐ-TTG ngày 26/11/2013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Đề án Khuyến khích sử dụng hình thức hỏa táng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14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1196/QĐ-TTg ngày 23/7/2014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Đề án huy động các nguồn lực đầu tư xây dựng hệ thống cấp, thoát nước và xử lý chất thải rắn sinh hoạt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15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pStyle w:val="Heading1"/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  <w:t>Nghị quyết số 36a/NQ-CP ngày 14/10/2015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Chính phủ điện tử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16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>134/QĐ-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TTg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319B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26/01/2015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Đề án tái cơ cấu ngành xây dựng gắn với chuyển đổi mô </w:t>
            </w: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hình tăng trưởng theo hướng nâng cao chất lượng, hiệu quả và năng lực cạnh tranh giai đoạn 2014-2020.</w:t>
            </w:r>
          </w:p>
        </w:tc>
      </w:tr>
      <w:tr w:rsidR="005C7E26" w:rsidRPr="0009319B" w:rsidTr="005C7E26">
        <w:trPr>
          <w:trHeight w:val="1136"/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571/QĐ-BXD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21/5/2015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KHCN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2015 – 2020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18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953/QĐ-BXD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14/8/2015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bookmarkStart w:id="0" w:name="loai_1_name"/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tái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2014-2020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134/QĐ-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TTg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26/01/2015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tướng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phủ</w:t>
            </w:r>
            <w:bookmarkEnd w:id="0"/>
            <w:proofErr w:type="spellEnd"/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19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890/ QĐ-BXD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29/7/2015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KHCN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2015 – 2020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nung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2020”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20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sz w:val="26"/>
                <w:szCs w:val="26"/>
              </w:rPr>
              <w:t xml:space="preserve">1096/QĐ-BXD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23/9/2015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KHCN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2015 – 2020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tro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xỉ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thạch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bón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319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9319B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21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pStyle w:val="Heading1"/>
              <w:spacing w:befor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9319B"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  <w:t xml:space="preserve">589/QĐ-TTg </w:t>
            </w:r>
            <w:proofErr w:type="spellStart"/>
            <w:r w:rsidRPr="0009319B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ngày</w:t>
            </w:r>
            <w:proofErr w:type="spellEnd"/>
            <w:r w:rsidRPr="0009319B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6/4/2016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Điều chỉnh định hướng phát triển thoát nước đô thị và khu công nghiệp Việt Nam đến năm 2025 và tầm nhìn đến năm 2050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22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  <w:t>736/QĐ-BXD ngày 27/7/2016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Chương trình KHCN trọng</w:t>
            </w:r>
            <w:bookmarkStart w:id="1" w:name="_GoBack"/>
            <w:bookmarkEnd w:id="1"/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điểm cấp Bộ giai đoạn 2017 – 2019 nhiệm vụ: “Nghiên cứu ứng dụng công nghệ, vật liệu tiết kiệm năng lượng, năng lượng tái tạo trong các công trình xây dựng và thúc đẩy phát triển công trình xanh”.</w:t>
            </w:r>
          </w:p>
        </w:tc>
      </w:tr>
      <w:tr w:rsidR="005C7E26" w:rsidRPr="0009319B" w:rsidTr="005C7E26">
        <w:trPr>
          <w:jc w:val="center"/>
        </w:trPr>
        <w:tc>
          <w:tcPr>
            <w:tcW w:w="567" w:type="dxa"/>
            <w:vAlign w:val="center"/>
          </w:tcPr>
          <w:p w:rsidR="005C7E26" w:rsidRPr="0009319B" w:rsidRDefault="005C7E26" w:rsidP="005C7E2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23</w:t>
            </w:r>
          </w:p>
        </w:tc>
        <w:tc>
          <w:tcPr>
            <w:tcW w:w="2552" w:type="dxa"/>
            <w:vAlign w:val="center"/>
          </w:tcPr>
          <w:p w:rsidR="005C7E26" w:rsidRPr="0009319B" w:rsidRDefault="005C7E26" w:rsidP="005C7E26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pt-BR"/>
              </w:rPr>
              <w:t>811/QĐ-BXD ngày 18/8/2016</w:t>
            </w:r>
          </w:p>
        </w:tc>
        <w:tc>
          <w:tcPr>
            <w:tcW w:w="6379" w:type="dxa"/>
            <w:vAlign w:val="center"/>
          </w:tcPr>
          <w:p w:rsidR="005C7E26" w:rsidRPr="0009319B" w:rsidRDefault="005C7E26" w:rsidP="005C7E2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319B">
              <w:rPr>
                <w:rFonts w:ascii="Times New Roman" w:hAnsi="Times New Roman"/>
                <w:sz w:val="26"/>
                <w:szCs w:val="26"/>
                <w:lang w:val="pt-BR"/>
              </w:rPr>
              <w:t>Kế hoạch hành động ứng phó với biến đổi khí hậu của ngành Xây dựng, giai đoạn 2016 - 2020</w:t>
            </w:r>
          </w:p>
        </w:tc>
      </w:tr>
    </w:tbl>
    <w:p w:rsidR="005C7E26" w:rsidRPr="0009319B" w:rsidRDefault="005C7E26" w:rsidP="005C7E26">
      <w:pPr>
        <w:spacing w:line="276" w:lineRule="auto"/>
        <w:jc w:val="both"/>
        <w:rPr>
          <w:rFonts w:ascii="Times New Roman" w:hAnsi="Times New Roman"/>
          <w:lang w:val="pt-BR"/>
        </w:rPr>
      </w:pPr>
    </w:p>
    <w:p w:rsidR="005C7E26" w:rsidRPr="0009319B" w:rsidRDefault="005C7E26" w:rsidP="005C7E26">
      <w:pPr>
        <w:spacing w:line="276" w:lineRule="auto"/>
        <w:jc w:val="both"/>
        <w:rPr>
          <w:rFonts w:ascii="Times New Roman" w:hAnsi="Times New Roman"/>
          <w:lang w:val="pt-BR"/>
        </w:rPr>
      </w:pPr>
    </w:p>
    <w:p w:rsidR="00104A32" w:rsidRDefault="005C7E26"/>
    <w:sectPr w:rsidR="00104A32" w:rsidSect="005C7E2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26"/>
    <w:rsid w:val="005C7E26"/>
    <w:rsid w:val="00731EBF"/>
    <w:rsid w:val="008B30E5"/>
    <w:rsid w:val="00D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2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E26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E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5C7E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2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E26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E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5C7E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2018-05-10T08:09:00Z</dcterms:created>
  <dcterms:modified xsi:type="dcterms:W3CDTF">2018-05-10T08:17:00Z</dcterms:modified>
</cp:coreProperties>
</file>